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济宁市碳汇科技有限公司</w:t>
      </w:r>
    </w:p>
    <w:p>
      <w:pPr>
        <w:jc w:val="center"/>
        <w:rPr>
          <w:rStyle w:val="16"/>
          <w:rFonts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年度财务等重大信息公告</w:t>
      </w:r>
    </w:p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</w:rPr>
      </w:pPr>
      <w:bookmarkStart w:id="0" w:name="_Toc21669"/>
      <w:r>
        <w:rPr>
          <w:rStyle w:val="16"/>
          <w:rFonts w:ascii="Times New Roman" w:hAnsi="Times New Roman" w:cs="Times New Roman"/>
        </w:rPr>
        <w:t>一、企业基本情况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（一）企业基本情况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统一社会信用代码：</w:t>
      </w:r>
      <w:r>
        <w:rPr>
          <w:rFonts w:ascii="方正仿宋简体" w:hAnsi="方正仿宋简体" w:eastAsia="方正仿宋简体" w:cs="方正仿宋简体"/>
          <w:sz w:val="32"/>
          <w:szCs w:val="32"/>
        </w:rPr>
        <w:t>91370800MA7MG2XB23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名称: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济宁市碳汇科技有限公司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企业类型：</w:t>
      </w:r>
      <w:r>
        <w:rPr>
          <w:rFonts w:ascii="方正仿宋简体" w:hAnsi="方正仿宋简体" w:eastAsia="方正仿宋简体" w:cs="方正仿宋简体"/>
          <w:sz w:val="32"/>
          <w:szCs w:val="32"/>
        </w:rPr>
        <w:t>有限责任公司(国有控股)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王超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地址：</w:t>
      </w:r>
      <w:r>
        <w:rPr>
          <w:rFonts w:ascii="方正仿宋简体" w:hAnsi="方正仿宋简体" w:eastAsia="方正仿宋简体" w:cs="方正仿宋简体"/>
          <w:sz w:val="32"/>
          <w:szCs w:val="32"/>
        </w:rPr>
        <w:t>济宁市高新技术产业开发区海川路9号产学研集团D1号楼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注册资本：</w:t>
      </w:r>
      <w:r>
        <w:rPr>
          <w:rFonts w:ascii="方正仿宋简体" w:hAnsi="方正仿宋简体" w:eastAsia="方正仿宋简体" w:cs="方正仿宋简体"/>
          <w:sz w:val="32"/>
          <w:szCs w:val="32"/>
        </w:rPr>
        <w:t>18,000万(元)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经营范围：</w:t>
      </w:r>
      <w:r>
        <w:rPr>
          <w:rFonts w:ascii="方正仿宋简体" w:hAnsi="方正仿宋简体" w:eastAsia="方正仿宋简体" w:cs="方正仿宋简体"/>
          <w:sz w:val="32"/>
          <w:szCs w:val="32"/>
        </w:rPr>
        <w:t>碳减排、碳转化、碳捕捉、碳封存技术研发；森林固碳服务；森林改培；人工造林；森林经营和管护；自然生态系统保护管理；技术服务、技术开发、技术咨询、技术交流、技术转让、技术推广；风力发电技术服务；物联网技术研发；科技中介服务；接受金融机构委托从事信息技术和流程外包服务（不含金融信息服务）；生态恢复及生态保护服务；节能管理服务；标准化服务；合同能源管理；资源再生利用技术研发；环保咨询服务；物联网应用服务；储能技术服务；资源循环利用服务技术咨询；能量回收系统研发；温室气体排放控制技术研发；新兴能源技术研发；在线能源监测技术研发；生物质能技术服务；发电技术服务；太阳能发电技术服务；信息咨询服务（不含许可类信息咨询服务）；土壤环境污染防治服务；土壤污染治理与修复服务；农业面源和重金属污染防治技术服务。（除依法须经批准的项目外，凭营业执照依法自主开展经营活动）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济宁市碳汇科技有限公司作为全市创新驱动的引领示范平台，全市碳资产管理平台公司，旨在通过统筹全市各类碳汇指标生产、收储、交易等碳资源、碳资产开发利用和运营管理等工作，为济宁赢得更好的生态、社会和经济效益。</w:t>
      </w:r>
    </w:p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  <w:bookmarkStart w:id="1" w:name="_Toc7578"/>
      <w:r>
        <w:rPr>
          <w:rStyle w:val="16"/>
          <w:rFonts w:ascii="Times New Roman" w:hAnsi="Times New Roman" w:cs="Times New Roman"/>
        </w:rPr>
        <w:t>二、主要财务数据</w:t>
      </w:r>
      <w:bookmarkEnd w:id="1"/>
      <w:r>
        <w:rPr>
          <w:rFonts w:ascii="Times New Roman" w:hAnsi="Times New Roman" w:eastAsia="方正仿宋简体" w:cs="Times New Roman"/>
          <w:sz w:val="32"/>
          <w:szCs w:val="32"/>
        </w:rPr>
        <w:t>（财务管理部）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（一）营业总收入：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（二）营业总成本：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-4.28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（三）利润总额：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4.28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（四）资产总额：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13012.34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（五）负债总额：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2.32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（六）所有者权益：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13010.02</w:t>
      </w:r>
      <w:r>
        <w:rPr>
          <w:rFonts w:ascii="Times New Roman" w:hAnsi="Times New Roman" w:eastAsia="方正仿宋简体" w:cs="Times New Roman"/>
          <w:sz w:val="32"/>
          <w:szCs w:val="32"/>
        </w:rPr>
        <w:t>万元。</w:t>
      </w:r>
    </w:p>
    <w:p>
      <w:pPr>
        <w:rPr>
          <w:rFonts w:hint="default"/>
          <w:lang w:val="en-US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  <w:bookmarkStart w:id="2" w:name="_Toc10887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440690</wp:posOffset>
            </wp:positionV>
            <wp:extent cx="5610225" cy="7865110"/>
            <wp:effectExtent l="0" t="0" r="952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86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6"/>
          <w:rFonts w:hint="eastAsia" w:ascii="Times New Roman" w:hAnsi="Times New Roman" w:cs="Times New Roman"/>
          <w:lang w:val="en-US" w:eastAsia="zh-CN"/>
        </w:rPr>
        <w:t>三、审计报告摘要</w:t>
      </w:r>
    </w:p>
    <w:p>
      <w:pPr>
        <w:rPr>
          <w:rFonts w:ascii="Times New Roman" w:hAnsi="Times New Roman" w:eastAsia="方正黑体简体" w:cs="Times New Roman"/>
          <w:kern w:val="44"/>
          <w:sz w:val="32"/>
        </w:rPr>
      </w:pPr>
    </w:p>
    <w:p>
      <w:r>
        <w:rPr>
          <w:rFonts w:ascii="Times New Roman" w:hAnsi="Times New Roman" w:eastAsia="方正黑体简体" w:cs="Times New Roman"/>
          <w:kern w:val="44"/>
          <w:sz w:val="32"/>
        </w:rPr>
        <w:t>四</w:t>
      </w:r>
      <w:r>
        <w:rPr>
          <w:rFonts w:hint="eastAsia" w:ascii="Times New Roman" w:hAnsi="Times New Roman" w:eastAsia="方正黑体简体" w:cs="Times New Roman"/>
          <w:kern w:val="44"/>
          <w:sz w:val="32"/>
        </w:rPr>
        <w:t>、</w:t>
      </w:r>
      <w:r>
        <w:rPr>
          <w:rFonts w:hint="eastAsia" w:ascii="Times New Roman" w:hAnsi="Times New Roman" w:eastAsia="方正黑体简体" w:cs="Times New Roman"/>
          <w:kern w:val="44"/>
          <w:sz w:val="32"/>
          <w:lang w:val="en-US" w:eastAsia="zh-CN"/>
        </w:rPr>
        <w:t>董</w:t>
      </w:r>
      <w:r>
        <w:rPr>
          <w:rFonts w:ascii="Times New Roman" w:hAnsi="Times New Roman" w:eastAsia="方正黑体简体" w:cs="Times New Roman"/>
          <w:kern w:val="44"/>
          <w:sz w:val="32"/>
        </w:rPr>
        <w:t>监高任职情况</w:t>
      </w:r>
      <w:bookmarkEnd w:id="2"/>
    </w:p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6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9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463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99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FFFFFF"/>
                <w:lang w:val="en-US" w:eastAsia="zh-CN"/>
              </w:rPr>
              <w:t>王超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463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执行董事兼经理</w:t>
            </w:r>
          </w:p>
        </w:tc>
      </w:tr>
    </w:tbl>
    <w:p>
      <w:pPr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  <w:sectPr>
          <w:footerReference r:id="rId3" w:type="default"/>
          <w:pgSz w:w="11906" w:h="16838"/>
          <w:pgMar w:top="2154" w:right="1531" w:bottom="2041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>
      <w:pPr>
        <w:pStyle w:val="2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-31750</wp:posOffset>
            </wp:positionV>
            <wp:extent cx="5612765" cy="7919720"/>
            <wp:effectExtent l="0" t="0" r="6985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方正黑体简体" w:cs="Times New Roman"/>
          <w:kern w:val="44"/>
          <w:sz w:val="32"/>
          <w:lang w:val="en-US" w:eastAsia="zh-CN"/>
        </w:rPr>
        <w:sectPr>
          <w:pgSz w:w="11906" w:h="16838"/>
          <w:pgMar w:top="2154" w:right="1531" w:bottom="2041" w:left="1531" w:header="851" w:footer="992" w:gutter="0"/>
          <w:pgNumType w:start="1"/>
          <w:cols w:space="425" w:num="1"/>
          <w:docGrid w:type="lines" w:linePitch="312" w:charSpace="0"/>
        </w:sectPr>
      </w:pPr>
      <w:bookmarkStart w:id="3" w:name="_Toc2648"/>
    </w:p>
    <w:p>
      <w:pPr>
        <w:rPr>
          <w:rFonts w:hint="eastAsia" w:ascii="Times New Roman" w:hAnsi="Times New Roman" w:eastAsia="方正黑体简体" w:cs="Times New Roman"/>
          <w:kern w:val="44"/>
          <w:sz w:val="32"/>
          <w:lang w:val="en-US" w:eastAsia="zh-CN"/>
        </w:rPr>
        <w:sectPr>
          <w:pgSz w:w="11906" w:h="16838"/>
          <w:pgMar w:top="2154" w:right="1531" w:bottom="2041" w:left="1531" w:header="851" w:footer="992" w:gutter="0"/>
          <w:pgNumType w:start="1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610225" cy="8007350"/>
            <wp:effectExtent l="0" t="0" r="952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0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黑体简体" w:cs="Times New Roman"/>
          <w:kern w:val="44"/>
          <w:sz w:val="32"/>
        </w:rPr>
      </w:pPr>
      <w:r>
        <w:rPr>
          <w:rFonts w:hint="eastAsia" w:ascii="Times New Roman" w:hAnsi="Times New Roman" w:eastAsia="方正黑体简体" w:cs="Times New Roman"/>
          <w:kern w:val="44"/>
          <w:sz w:val="32"/>
          <w:lang w:val="en-US" w:eastAsia="zh-CN"/>
        </w:rPr>
        <w:t>五</w:t>
      </w:r>
      <w:r>
        <w:rPr>
          <w:rFonts w:ascii="Times New Roman" w:hAnsi="Times New Roman" w:eastAsia="方正黑体简体" w:cs="Times New Roman"/>
          <w:kern w:val="44"/>
          <w:sz w:val="32"/>
        </w:rPr>
        <w:t>、社会责任的履行</w:t>
      </w:r>
      <w:bookmarkEnd w:id="3"/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楷体简体" w:cs="Times New Roman"/>
          <w:bCs/>
          <w:sz w:val="32"/>
          <w:szCs w:val="32"/>
        </w:rPr>
        <w:t>劳动法律法规的遵守和执行情况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济宁市碳汇科技有限公司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按照《劳动法》《劳动合同法》等法律法规与职工签订书面劳动合同，健全完善内部劳动保障规章制度，主动承担起稳定就业的社会责任。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（二）人才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队伍建设情况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通过组织专业技术人员交流学习等形式，鼓励有上进心的员工考取工程师、测绘师、会计师等执业资格，有效挖掘内部人才的潜力，不断提高专业技术力量和全员综合素质。</w:t>
      </w:r>
    </w:p>
    <w:p>
      <w:pPr>
        <w:pStyle w:val="2"/>
        <w:rPr>
          <w:rFonts w:ascii="Times New Roman" w:hAnsi="Times New Roman" w:cs="Times New Roman"/>
        </w:rPr>
      </w:pPr>
    </w:p>
    <w:sectPr>
      <w:pgSz w:w="11906" w:h="16838"/>
      <w:pgMar w:top="2154" w:right="1531" w:bottom="2041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BB499EB-51D2-48BB-A63C-468EC6D6900E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uCWs4AgAAbw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mRDOFhp++fzv9&#10;+HX6+ZVcRXla62eIerCIC91b02FohnuPy8i6q5yKv+BD4Ie4x4u4oguEx0fTyXSaw8XhGw7Azx6f&#10;W+fDO2EUiUZBHbqXRGWHjQ996BASs2mzbqRMHZSatAW9vnq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Je4Ja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OGU2YjEzYTE0OWEzZWU2MGM3NGQ2MGQ3NzA2ZDkifQ=="/>
  </w:docVars>
  <w:rsids>
    <w:rsidRoot w:val="218E4CAC"/>
    <w:rsid w:val="00005924"/>
    <w:rsid w:val="00050316"/>
    <w:rsid w:val="00082E12"/>
    <w:rsid w:val="00093BAE"/>
    <w:rsid w:val="00114000"/>
    <w:rsid w:val="001C7F2E"/>
    <w:rsid w:val="00372CB8"/>
    <w:rsid w:val="0040364E"/>
    <w:rsid w:val="004B4603"/>
    <w:rsid w:val="00513ED9"/>
    <w:rsid w:val="00565157"/>
    <w:rsid w:val="005A2919"/>
    <w:rsid w:val="00663B2D"/>
    <w:rsid w:val="00675F0C"/>
    <w:rsid w:val="00744571"/>
    <w:rsid w:val="007533AA"/>
    <w:rsid w:val="007907B5"/>
    <w:rsid w:val="007A0B27"/>
    <w:rsid w:val="008313E1"/>
    <w:rsid w:val="0097361C"/>
    <w:rsid w:val="00992D3B"/>
    <w:rsid w:val="00C6450F"/>
    <w:rsid w:val="00E166B5"/>
    <w:rsid w:val="00E70057"/>
    <w:rsid w:val="070818E9"/>
    <w:rsid w:val="0AD35C38"/>
    <w:rsid w:val="0C9C5EA0"/>
    <w:rsid w:val="12301B77"/>
    <w:rsid w:val="19796A6F"/>
    <w:rsid w:val="1E8B1299"/>
    <w:rsid w:val="1FF50B01"/>
    <w:rsid w:val="218E4CAC"/>
    <w:rsid w:val="27336795"/>
    <w:rsid w:val="335F2790"/>
    <w:rsid w:val="33EB2F2E"/>
    <w:rsid w:val="379A1DED"/>
    <w:rsid w:val="389B749B"/>
    <w:rsid w:val="3E085493"/>
    <w:rsid w:val="41C23B47"/>
    <w:rsid w:val="46D72E3B"/>
    <w:rsid w:val="495747E8"/>
    <w:rsid w:val="4D805B1D"/>
    <w:rsid w:val="4FBE5D51"/>
    <w:rsid w:val="51240D22"/>
    <w:rsid w:val="531829B6"/>
    <w:rsid w:val="56BC1572"/>
    <w:rsid w:val="59094E9C"/>
    <w:rsid w:val="5C3B6A61"/>
    <w:rsid w:val="5C4D1A99"/>
    <w:rsid w:val="6239194F"/>
    <w:rsid w:val="65E52D1D"/>
    <w:rsid w:val="67E224D7"/>
    <w:rsid w:val="718E1577"/>
    <w:rsid w:val="739F1051"/>
    <w:rsid w:val="777945E6"/>
    <w:rsid w:val="799626C1"/>
    <w:rsid w:val="7FFD5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560" w:lineRule="exact"/>
      <w:outlineLvl w:val="0"/>
    </w:pPr>
    <w:rPr>
      <w:rFonts w:eastAsia="方正黑体简体"/>
      <w:kern w:val="44"/>
      <w:sz w:val="32"/>
    </w:rPr>
  </w:style>
  <w:style w:type="paragraph" w:styleId="4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ind w:firstLine="560"/>
    </w:pPr>
    <w:rPr>
      <w:rFonts w:ascii="Calibri" w:hAnsi="Calibri" w:cs="宋体"/>
      <w:szCs w:val="21"/>
    </w:rPr>
  </w:style>
  <w:style w:type="paragraph" w:styleId="5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paragraph" w:customStyle="1" w:styleId="14">
    <w:name w:val="样式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customStyle="1" w:styleId="15">
    <w:name w:val="正文2"/>
    <w:basedOn w:val="1"/>
    <w:autoRedefine/>
    <w:qFormat/>
    <w:uiPriority w:val="0"/>
    <w:pPr>
      <w:ind w:firstLine="200"/>
    </w:pPr>
    <w:rPr>
      <w:szCs w:val="22"/>
    </w:rPr>
  </w:style>
  <w:style w:type="character" w:customStyle="1" w:styleId="16">
    <w:name w:val="标题 1 Char"/>
    <w:link w:val="3"/>
    <w:autoRedefine/>
    <w:qFormat/>
    <w:uiPriority w:val="0"/>
    <w:rPr>
      <w:rFonts w:eastAsia="方正黑体简体" w:asciiTheme="minorHAnsi" w:hAnsiTheme="minorHAnsi"/>
      <w:kern w:val="44"/>
      <w:sz w:val="32"/>
    </w:rPr>
  </w:style>
  <w:style w:type="character" w:customStyle="1" w:styleId="17">
    <w:name w:val="标题 2 Char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978</Words>
  <Characters>1026</Characters>
  <Lines>11</Lines>
  <Paragraphs>3</Paragraphs>
  <TotalTime>6</TotalTime>
  <ScaleCrop>false</ScaleCrop>
  <LinksUpToDate>false</LinksUpToDate>
  <CharactersWithSpaces>1028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2022-08-19T03:22:00Z</dcterms:created>
  <dc:creator>耿心语</dc:creator>
  <cp:lastModifiedBy>两个蛋挞</cp:lastModifiedBy>
  <cp:lastPrinted>2022-11-11T06:33:00Z</cp:lastPrinted>
  <dcterms:modified xsi:type="dcterms:W3CDTF">2024-06-24T06:58:28Z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3564F063A78948A48966C4A060C9832F_13</vt:lpwstr>
  </property>
</Properties>
</file>